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bookmarkStart w:id="0" w:name="_GoBack"/>
      <w:bookmarkEnd w:id="0"/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Jutjat de Primera Instància</w:t>
      </w:r>
      <w:r w:rsidRPr="00E144E3">
        <w:rPr>
          <w:rFonts w:ascii="Arial" w:eastAsia="Times New Roman" w:hAnsi="Arial" w:cs="Arial"/>
          <w:b/>
          <w:bCs/>
          <w:color w:val="00B050"/>
          <w:lang w:val="ca-ES" w:eastAsia="es-ES"/>
        </w:rPr>
        <w:t xml:space="preserve"> núm. XX </w:t>
      </w: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de</w:t>
      </w:r>
      <w:r w:rsidRPr="00E144E3">
        <w:rPr>
          <w:rFonts w:ascii="Arial" w:eastAsia="Times New Roman" w:hAnsi="Arial" w:cs="Arial"/>
          <w:b/>
          <w:bCs/>
          <w:color w:val="0066FF"/>
          <w:lang w:val="ca-ES" w:eastAsia="es-ES"/>
        </w:rPr>
        <w:t xml:space="preserve"> </w:t>
      </w:r>
      <w:r w:rsidRPr="00E144E3">
        <w:rPr>
          <w:rFonts w:ascii="Arial" w:eastAsia="Times New Roman" w:hAnsi="Arial" w:cs="Arial"/>
          <w:b/>
          <w:bCs/>
          <w:color w:val="00B050"/>
          <w:lang w:val="ca-ES" w:eastAsia="es-ES"/>
        </w:rPr>
        <w:t>Localitat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Judici Núm. 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>Número del Procediment</w:t>
      </w:r>
    </w:p>
    <w:p w:rsidR="00E144E3" w:rsidRPr="00E144E3" w:rsidRDefault="00E144E3" w:rsidP="00E144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E144E3" w:rsidRPr="00E144E3" w:rsidRDefault="00E144E3" w:rsidP="00E144E3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sz w:val="28"/>
          <w:szCs w:val="28"/>
          <w:lang w:val="ca-ES" w:eastAsia="es-ES"/>
        </w:rPr>
        <w:t>AL JUTJAT</w:t>
      </w:r>
    </w:p>
    <w:p w:rsidR="00E144E3" w:rsidRPr="00E144E3" w:rsidRDefault="00E144E3" w:rsidP="00E144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E144E3" w:rsidRPr="00E144E3" w:rsidRDefault="00D2702D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color w:val="00B050"/>
          <w:lang w:val="ca-ES" w:eastAsia="es-ES"/>
        </w:rPr>
        <w:t>Nom afectat/</w:t>
      </w:r>
      <w:r w:rsidR="00E144E3" w:rsidRPr="00E144E3">
        <w:rPr>
          <w:rFonts w:ascii="Arial" w:eastAsia="Times New Roman" w:hAnsi="Arial" w:cs="Arial"/>
          <w:color w:val="00B050"/>
          <w:lang w:val="ca-ES" w:eastAsia="es-ES"/>
        </w:rPr>
        <w:t>da</w:t>
      </w:r>
      <w:r w:rsidR="00E144E3" w:rsidRPr="00E144E3">
        <w:rPr>
          <w:rFonts w:ascii="Arial" w:eastAsia="Times New Roman" w:hAnsi="Arial" w:cs="Arial"/>
          <w:color w:val="000000"/>
          <w:lang w:val="ca-ES" w:eastAsia="es-ES"/>
        </w:rPr>
        <w:t xml:space="preserve">, amb DNI </w:t>
      </w:r>
      <w:proofErr w:type="spellStart"/>
      <w:r w:rsidR="00E144E3" w:rsidRPr="00E144E3">
        <w:rPr>
          <w:rFonts w:ascii="Arial" w:eastAsia="Times New Roman" w:hAnsi="Arial" w:cs="Arial"/>
          <w:color w:val="00B050"/>
          <w:lang w:val="ca-ES" w:eastAsia="es-ES"/>
        </w:rPr>
        <w:t>xxxxxxx</w:t>
      </w:r>
      <w:proofErr w:type="spellEnd"/>
      <w:r w:rsidR="00E144E3" w:rsidRPr="00E144E3">
        <w:rPr>
          <w:rFonts w:ascii="Arial" w:eastAsia="Times New Roman" w:hAnsi="Arial" w:cs="Arial"/>
          <w:color w:val="000000"/>
          <w:lang w:val="ca-ES" w:eastAsia="es-ES"/>
        </w:rPr>
        <w:t xml:space="preserve">, en nom propi i dret, amb domicili a efectes de notificació a </w:t>
      </w:r>
      <w:r w:rsidR="00E144E3" w:rsidRPr="00E144E3">
        <w:rPr>
          <w:rFonts w:ascii="Arial" w:eastAsia="Times New Roman" w:hAnsi="Arial" w:cs="Arial"/>
          <w:color w:val="00B050"/>
          <w:lang w:val="ca-ES" w:eastAsia="es-ES"/>
        </w:rPr>
        <w:t xml:space="preserve">carrer número pis </w:t>
      </w:r>
      <w:r w:rsidR="00E144E3" w:rsidRPr="00E144E3">
        <w:rPr>
          <w:rFonts w:ascii="Arial" w:eastAsia="Times New Roman" w:hAnsi="Arial" w:cs="Arial"/>
          <w:color w:val="000000"/>
          <w:lang w:val="ca-ES" w:eastAsia="es-ES"/>
        </w:rPr>
        <w:t xml:space="preserve">, </w:t>
      </w:r>
      <w:r w:rsidR="00E144E3" w:rsidRPr="00E144E3">
        <w:rPr>
          <w:rFonts w:ascii="Arial" w:eastAsia="Times New Roman" w:hAnsi="Arial" w:cs="Arial"/>
          <w:color w:val="00B050"/>
          <w:lang w:val="ca-ES" w:eastAsia="es-ES"/>
        </w:rPr>
        <w:t>C.P. XXXXX</w:t>
      </w:r>
      <w:r w:rsidR="00E144E3" w:rsidRPr="00E144E3">
        <w:rPr>
          <w:rFonts w:ascii="Arial" w:eastAsia="Times New Roman" w:hAnsi="Arial" w:cs="Arial"/>
          <w:color w:val="000000"/>
          <w:lang w:val="ca-ES" w:eastAsia="es-ES"/>
        </w:rPr>
        <w:t>,</w:t>
      </w:r>
      <w:r w:rsidR="00E144E3" w:rsidRPr="00E144E3">
        <w:rPr>
          <w:rFonts w:ascii="Arial" w:eastAsia="Times New Roman" w:hAnsi="Arial" w:cs="Arial"/>
          <w:color w:val="00B050"/>
          <w:lang w:val="ca-ES" w:eastAsia="es-ES"/>
        </w:rPr>
        <w:t xml:space="preserve"> localitat</w:t>
      </w:r>
      <w:r w:rsidR="00E144E3" w:rsidRPr="00E144E3">
        <w:rPr>
          <w:rFonts w:ascii="Arial" w:eastAsia="Times New Roman" w:hAnsi="Arial" w:cs="Arial"/>
          <w:color w:val="000000"/>
          <w:lang w:val="ca-ES" w:eastAsia="es-ES"/>
        </w:rPr>
        <w:t xml:space="preserve">, davant el Jutjat comparec i com millor procedeixi en Dret, </w:t>
      </w:r>
      <w:r w:rsidR="00E144E3"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DIC: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Que, en data 29 de juliol de 2015, el Parlament de Catalunya va aprovar la Llei 24/2015, de de mesures urgents per a afrontar l'emergència en l'àmbit de l'habitatge i la pobresa energètica, publicada al Diari Oficial de la Generalitat de Catalunya el dia 5 d’agost de 2015. I actualment es troba en vigor després del desistiment parcial del recurs d’inconstitucionalitat núm. 2501-2016 acordat en el Consell de Ministres del 2 de novembre de 2018 i la seva publicació al BOE.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Que, en data 31 de desembre de 2019, va entrar en vigor el Decret llei 17/2019, de 23 de desembre, de mesures urgents per millorar l'accés a l'habitatge, que entre d’altres modifica la citada Llei 24/2015.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Que mitjançant el present escrit </w:t>
      </w: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interessem la suspensió immediata de les presents actuacions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>, en base als següents</w:t>
      </w:r>
    </w:p>
    <w:p w:rsidR="00E144E3" w:rsidRPr="00E144E3" w:rsidRDefault="00E144E3" w:rsidP="00E144E3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FETS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 xml:space="preserve">Primer.- Situació d’emergència </w:t>
      </w:r>
      <w:proofErr w:type="spellStart"/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habitacional</w:t>
      </w:r>
      <w:proofErr w:type="spellEnd"/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Des de l’any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 xml:space="preserve"> XXXX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la nostra residència habitual es troba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 xml:space="preserve"> 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>al pis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 xml:space="preserve"> XX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del carrer 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>XXXXXXXX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, núm. 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>XXX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, de 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>localitat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>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Els ingressos familiars s’han vist greument afectats a causa de la prolongada crisi econòmica que viu el país, fet que ha impossibilitat a moltes persones accedir al mercat de l’habitatge, que pels seus elevats preus, exclou a grans capes de població d’aquesta opció i aboca moltes famílies a la necessitat d’ocupar habitatges buits de grans tenidors sense títol habilitant o ser víctimes de fraus.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En data </w:t>
      </w:r>
      <w:proofErr w:type="spellStart"/>
      <w:r w:rsidRPr="00E144E3">
        <w:rPr>
          <w:rFonts w:ascii="Arial" w:eastAsia="Times New Roman" w:hAnsi="Arial" w:cs="Arial"/>
          <w:color w:val="00B050"/>
          <w:lang w:val="ca-ES" w:eastAsia="es-ES"/>
        </w:rPr>
        <w:t>xxxxxx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, em va ser notificada demanda de procediment 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>de desnonament per precari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núm. 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>XXXXX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, instada per l’actora 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>(nom demandant)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. Com a conseqüència d’aquest procediment em va ser notificada diligència de </w:t>
      </w:r>
      <w:r w:rsidRPr="00E144E3">
        <w:rPr>
          <w:rFonts w:ascii="Arial" w:eastAsia="Times New Roman" w:hAnsi="Arial" w:cs="Arial"/>
          <w:color w:val="000000"/>
          <w:u w:val="single"/>
          <w:lang w:val="ca-ES" w:eastAsia="es-ES"/>
        </w:rPr>
        <w:t>llançament senyalat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pel dia 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 xml:space="preserve">XXX 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de </w:t>
      </w:r>
      <w:r w:rsidRPr="00E144E3">
        <w:rPr>
          <w:rFonts w:ascii="Arial" w:eastAsia="Times New Roman" w:hAnsi="Arial" w:cs="Arial"/>
          <w:color w:val="00B050"/>
          <w:lang w:val="ca-ES" w:eastAsia="es-ES"/>
        </w:rPr>
        <w:t>XXX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>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Segon.- Situació de la unitat familiar</w:t>
      </w:r>
    </w:p>
    <w:p w:rsidR="00E144E3" w:rsidRPr="00E144E3" w:rsidRDefault="00E144E3" w:rsidP="00E144E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La unitat familiar que habita l’habitatge està formada per:</w:t>
      </w:r>
    </w:p>
    <w:p w:rsidR="00E144E3" w:rsidRPr="00E144E3" w:rsidRDefault="00E144E3" w:rsidP="00E144E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B050"/>
          <w:lang w:val="ca-ES" w:eastAsia="es-ES"/>
        </w:rPr>
        <w:t>(explicar qui integra la unitat familiar, indicar circumstàncies de salut i adjuntar documents)</w:t>
      </w:r>
    </w:p>
    <w:p w:rsidR="00E144E3" w:rsidRPr="00E144E3" w:rsidRDefault="00E144E3" w:rsidP="00E144E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La família compta amb els següents ingressos mensuals per al seu manteniment:</w:t>
      </w:r>
    </w:p>
    <w:p w:rsidR="00E144E3" w:rsidRPr="00E144E3" w:rsidRDefault="00E144E3" w:rsidP="00E144E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B050"/>
          <w:lang w:val="ca-ES" w:eastAsia="es-ES"/>
        </w:rPr>
        <w:lastRenderedPageBreak/>
        <w:t>(explicar situació laboral i ingressos de la unitat familiar)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Degut a la situació de vulnerabilitat acudeixen a Serveis Socials, qui ha emès Informe que acredita la situació de risc d’exclusió residencial d’acord amb l’article 10 de la Llei 24/2015. (document adjunt)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Tercer.- Dificultat d’accés a l’habitatge.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Amb una tendència creixent dels preus dels immobles, les condicions del mercat immobiliari impedeixen l’accés a l’habitatge de les persones en situació de vulnerabilitat. En aquest sentit, el preu del lloguer a Catalunya ha augmentat un 4,4% de mitja el 2019, d’acord amb les dades de la Secretaria d'Habitatge de la Generalitat (a partir de les fiances de lloguer dipositades a l'INCASÒL).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Tanmateix, Catalunya arrossega una històrica manca de polítiques d’habitatge, el que es tradueix amb un escàs parc públic d’habitatge, que no arriba al 2% del parc d’acord amb el Pla Territorial Sectorial d’Habitatge de la Generalitat, molt lluny de la mitjana dels països de l’entorn europeu. A la vegada que és manifestament insuficient per a fer front a l’emergència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habitacional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que viu Catalunya, el territori lidera un cop més el rànquing de la vergonya dels desnonaments, representant el 23,3% del total estatal el segon semestre del 2019, d’acord a les dades del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Consejo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General del Poder Judicial.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I com anteriorment s’ha manifestat, els ingressos familiars són insuficients per accedir a un habitatge en els actuals termes de mercat, pel que no disposa d’alternativa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habitacional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>.</w:t>
      </w:r>
    </w:p>
    <w:p w:rsidR="00E144E3" w:rsidRPr="00E144E3" w:rsidRDefault="00E144E3" w:rsidP="00E144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E144E3" w:rsidRPr="00E144E3" w:rsidRDefault="00E144E3" w:rsidP="00E144E3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FONAMENTS DE DRET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Primer.-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La Llei 24/2015, del 29 de juliol, de mesures urgents per a afrontar l'emergència en l'àmbit de l'habitatge i la pobresa energètica, fruit de la mobilització de la ciutadania, contempla, entre d’altres, mesures per a evitar desnonaments i donar resposta a la greu i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cronificada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situació d'emergència social que viu Catalunya, especialment greu en l'àmbit de l'habitatge.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Després del desistiment parcial del recurs d’inconstitucionalitat núm. 2501-2016, acordat al Consell de Ministres de data 2 de novembre 2018 i la seva publicació al BOE, la citada llei és actualment vigent i d’obligada aplicació. A més, compta amb una important modificació introduïda pel Decret llei 17/2019, de 23 de desembre, de mesures urgents per millorar l'accés a l'habitatge.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 xml:space="preserve">Segon.- 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>D'acord amb el que disposa la Disposició addicional Primera de la llei de referència (article 5 del Decret llei), el demandant en un procediment de desnonament per manca de títol habilitant ha d'oferir un lloguer social als demandats abans d'interposar la demanda o de recuperar la possessió de l’habitatge, sempre que concorrin dues circumstàncies. Primera: que les persones o unitats familiars afectades pel procediment no tinguin alternativa d'habitatge pròpia i es trobin dins dels paràmetres de risc d'exclusió residencial, d’acord a l’article 10 de la llei, circumstància que haurà de ser comprovada pel mateix demandant. Segona: que el demandant reuneixi la condició de gran tenidor d'habitatge d'acord amb la lletra a de l'apartat 9 de l'article 5 i amb la lletra a de l'apartat 3 de la Disposició addicional Primera. 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Tercer.-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Tanmateix, segons el que estableix la Disposició transitòria Primera del Decret llei 17/2019, l'obligació d'oferir un lloguer social a què fan referència la disposició 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lastRenderedPageBreak/>
        <w:t>addicional primera i l'article 10 de la Llei 24/2015, afegits per aquest Decret llei, és d'aplicació també en el cas que els procediments judicials corresponents s'hagin iniciat abans de l'entrada en vigor d'aquest Decret llei i estiguin encara en tramitació.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 xml:space="preserve">Quart.- 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La part actora en el procediment mencionat és una persona jurídica que té la condició de gran tenidor d'habitatges. L'article 5.9 a) de la Llei 24/2015 defineix com a grans tenidors les entitats financeres, les seves filials immobiliàries, els fons d'inversió i les entitats de gestió d'actius, inclosos els procedents de reestructuració bancària, d'acord la legislació mercantil vigent, i el Decret llei 17/2019 introdueix també els fons de capital risc i de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titulització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d’actius.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Essent la demandant persona jurídica es presumeix que no concorren raons d’urgència i necessitat per prendre possessió de l’immoble, i pel contrari, sí s’acrediten motius d’urgència social en la part demandada que aconsellen la suspensió del llançament fins que obtingui una alternativa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habitacional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adequada a les circumstàncies de la unitat familiar, ponderant els drets en judici per a no causar mals majors i irreparables.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Cinquè.-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La part demandant ha incomplert l’imperatiu legal de comprovar prèviament si els afectats es troben en situació de risc d'exclusió residencial així com a realitzar oferta de lloguer social en els termes que estableix el precepte 5 de la Llei 24/2015.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 xml:space="preserve">Sisè.- 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>L’article 47 de la Constitució (CE) reconeix expressament el dret a l’habitatge digne i adequat i el vincula a l’obligació dels poders públics d’impedir l’especulació. A la vegada, imposa els deure de garantir que el dret de propietat no s’exerceixi de manera antisocial en l’article 33, i subordina la riquesa a l’interès general en el seu article 128.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Si bé l’article 47 CE s’ubica al Capítol III del Títol I, “Dels principis Rectors de la Política Social Econòmica”, en la línia de la recent jurisprudència res impedeix reconèixer elements de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fonamentalitat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>, ja que el dret a habitatge digne i adequat està en la norma de major rang en el nostre ordenament jurídic i definit en el Títol I: “De Drets i deures fonamentals”.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L’article 148.1.3 de la Constitució atorga a les comunitats autònomes la potestat d’assumir competències en matèria d’habitatge, que en el cas de Catalunya ha estat assumida la competència en l’article 137 de l’Estatut d’Autonomia.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I d’acord a l’article 5 de l’Estatut d’Autonomia totes les persones tenen dret a viure lliures de situacions d’explotació i maltractament, com de facto comporta la manca d’habitatge digne.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Setè.-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Els tractats internacionals en matèria de Drets Humans ratificats per Espanya formen part de l’ordenament intern, tal com estableix l’article 96.1 CE, i son, juntament amb la Declaració Universal de Drets Humans, un criteri decisiu per a la interpretació dels drets fonamentals i garanties reconegudes en la Constitució (article 10.2 CE). Segons estableix l’article 31 de la Llei 25/2014, de 27 de novembre, de Tractats i altres acords Internacional, en cas de conflicte o dubte interpretatiu amb una norma de dret intern, preval el Tractat internacional.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El Pacte Internacional de Drets Econòmics, Socials i Culturals (PIDESC), firmat per Espanya l’any 2008 i en vigor des de l’any 2013, reconeix el dret a l’habitatge digne en l’article 11; i en virtut del Protocol Facultatiu, els països adherits es sotmeten a la decisió que adopti el Comitè DESC en supòsits de violacions dels drets reconeguts al PIDESC.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Per la seva banda, l’Observació General núm. 7 del Comitè de Drets Econòmics, Socials i Culturals incorpora com a contingut del dret a l’habitatge la protecció contra els 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lastRenderedPageBreak/>
        <w:t xml:space="preserve">desnonaments forçosos, introduint condicionants i límits; i l’obligació dels poders públics de garantir un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reallotjament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adequat de les persones en situació de vulnerabilitat.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Vuitè.-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El Dictamen del Comitè DESC de Nacions Unides, de data 20 de juny de 2017, Comunicació 5/2015, declara la vulneració del dret a l’habitatge, i condemna Espanya, per no impedir un desnonament sense alternativa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habitacional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>, dictamen vinculant que obliga a la suspensió del llançament.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La qüestió essencial que planteja la comunicació és si el desallotjament sense alternativa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habitacional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suposa una violació del dret a un habitatge adequat.</w:t>
      </w:r>
    </w:p>
    <w:p w:rsidR="00E144E3" w:rsidRPr="00E144E3" w:rsidRDefault="00E144E3" w:rsidP="00E144E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El Dictamen del Comitè DESC resol aquest assumpte en el següent sentit: </w:t>
      </w:r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“El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humano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a una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vivienda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adecuada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es un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fundamental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constituye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 base para 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disfrute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todos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económicos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sociales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y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culturales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(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Observación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núm. 4) y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está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vinculado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en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su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integridad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otros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humanos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incluyendo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los del Pacto Internacional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Civiles y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Políticos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. 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a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vivienda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se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debe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garantizar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todos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sean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cuales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fueren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sus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ingresos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su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acceso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a recursos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económicos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y los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Estados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partes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deben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tomar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todas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medidas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sean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necesarias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para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lograr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 plena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realización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este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hasta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máximo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sus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recursos disponibles.</w:t>
      </w:r>
    </w:p>
    <w:p w:rsidR="00E144E3" w:rsidRPr="00E144E3" w:rsidRDefault="00E144E3" w:rsidP="00E144E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Todas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personas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deben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gozar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cierto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grado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seguridad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tenencia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les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garantice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una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protección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legal contra 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desahucio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hostigamiento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u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otras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amenazas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. Esta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garantía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se aplica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también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a las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personas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viven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en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viviendas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alquiladas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ya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sean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públicas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privadas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.</w:t>
      </w:r>
    </w:p>
    <w:p w:rsidR="00E144E3" w:rsidRPr="00E144E3" w:rsidRDefault="00E144E3" w:rsidP="00E144E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Los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desalojos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forzados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son “prima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facie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” incompatibles con los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requisitos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del Pacto, y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sólo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podrán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justificarse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en las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circunstancias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más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excepcionales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y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conformidad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con los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principios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pertinentes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al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internacional (…)</w:t>
      </w:r>
    </w:p>
    <w:p w:rsidR="00E144E3" w:rsidRPr="00E144E3" w:rsidRDefault="00E144E3" w:rsidP="00E144E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No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puede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haber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un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sin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un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recurso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efectivo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y, por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tanto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los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Estados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partes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deben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garantizar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las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personas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cuyo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a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vivienda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adecuada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pudiera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ser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afectado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dispongan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un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recurso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judicial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efectivo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y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apropiado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(...)</w:t>
      </w:r>
    </w:p>
    <w:p w:rsidR="00E144E3" w:rsidRPr="00E144E3" w:rsidRDefault="00E144E3" w:rsidP="00E144E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Los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Estados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parte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no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sólo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tiene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obligación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respetar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del Pacto, por lo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cual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deben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abstenerse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infringirlos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sino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también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tiene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obligación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protegerlos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. Si un Estado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parte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no toma las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medidas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adecuadas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protección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un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del Pacto,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compromete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su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responsabilidad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incluso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si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acción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dio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origen a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afectación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fue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impulsada por un individuo o una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entidad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privada (…).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>”</w:t>
      </w:r>
    </w:p>
    <w:p w:rsidR="00E144E3" w:rsidRPr="00E144E3" w:rsidRDefault="00E144E3" w:rsidP="00E144E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En definitiva, d’acord amb el recent Dictamen no s’hauria d’executar un desnonament si els afectats es queden sense sostre, i encara menys quan la Llei 24/2015, de 29 de juliol, imposa l’obligació a les persones jurídiques de l’article 5, com és el present cas, de fer oferta de lloguer social al demandat com a mesura per a garantir el Dret a l’habitatge de persones en situació de vulnerabilitat, en congruència amb la normativa internacional i la carta magna.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Novè.-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En el mateix sentit, s’ha pronunciat el Tribunal Suprem en sentència de data 23 de novembre de 2017 sobre entrada a domicili i el “judici de proporcionalitat”, recollint la doctrina constitucional i del Tribunal Europeu de Drets Humans, en congruència amb els Tractats Internacionals en matèria de Drets Humans:</w:t>
      </w:r>
    </w:p>
    <w:p w:rsidR="00E144E3" w:rsidRPr="00E144E3" w:rsidRDefault="00E144E3" w:rsidP="00E144E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"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Procede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asimismo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poner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relieve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que, conforme a la consolidada doctrina del Tribunal Constitucional,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expuesta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en las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sentencias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50/1995, de 23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febrero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69/1999, de 26 de abril y 188/2013, de 4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noviembre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resolución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judicial por la que se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autoriza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 entrada en un domicilio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debe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estar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debidamente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motivada y,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consecuentemente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debe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lastRenderedPageBreak/>
        <w:t>cumplir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función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garantía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inviolabilidad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del domicilio que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le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corresponde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de modo que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pueda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comprobarse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se ha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autorizado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 entrada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tras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efectuar una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ponderación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los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distintos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intereses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pueden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verse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afectados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y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adoptando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cautelas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precisa para que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limitación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fundamental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misma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implica se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efectúe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del modo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menos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restrictivo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posible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.</w:t>
      </w:r>
    </w:p>
    <w:p w:rsidR="00E144E3" w:rsidRPr="00E144E3" w:rsidRDefault="00E144E3" w:rsidP="00E144E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Asimismo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refiere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el Tribunal Constitucional en las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citadas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sentencias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que "el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órgano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jurisdiccional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debe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velar por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proporcionalidad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medida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interesada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de modo tal que la entrada en el domicilio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sea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absolutamente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indispensable para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ejecución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acto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administrativo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. Pues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será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en este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juicio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proporcionalidad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- al que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expresamente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remiten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nuestras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sentencias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50/1995 y 69/1999, como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canon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enjuiciamiento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 la licitud de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autorización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judicial de entrada en el domicilio - en el de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haberse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respetado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, no se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producirá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la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vulneración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del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derecho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 xml:space="preserve"> </w:t>
      </w:r>
      <w:proofErr w:type="spellStart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fundamental</w:t>
      </w:r>
      <w:proofErr w:type="spellEnd"/>
      <w:r w:rsidRPr="00E144E3">
        <w:rPr>
          <w:rFonts w:ascii="Arial" w:eastAsia="Times New Roman" w:hAnsi="Arial" w:cs="Arial"/>
          <w:i/>
          <w:iCs/>
          <w:color w:val="000000"/>
          <w:lang w:val="ca-ES" w:eastAsia="es-ES"/>
        </w:rPr>
        <w:t>."</w:t>
      </w:r>
    </w:p>
    <w:p w:rsidR="00E144E3" w:rsidRPr="00E144E3" w:rsidRDefault="00E144E3" w:rsidP="00E144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br/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Pel que s’acaba d’exposar,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 xml:space="preserve">AL JUTJAT SOL·LICITO 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>tingui per presentat aquest escrit i per fetes les manifestacions contingudes, l'admeti i:</w:t>
      </w:r>
    </w:p>
    <w:p w:rsidR="00E144E3" w:rsidRPr="00E144E3" w:rsidRDefault="00E144E3" w:rsidP="00E14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>1.- Procedeixi al preceptiu judici de proporcionalitat sobre les circumstàncies que concorren en aquest cas.</w:t>
      </w: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2.- </w:t>
      </w:r>
      <w:r w:rsidRPr="00E144E3">
        <w:rPr>
          <w:rFonts w:ascii="Arial" w:eastAsia="Times New Roman" w:hAnsi="Arial" w:cs="Arial"/>
          <w:color w:val="000000"/>
          <w:u w:val="single"/>
          <w:lang w:val="ca-ES" w:eastAsia="es-ES"/>
        </w:rPr>
        <w:t>Acordi la suspensió immediata del procediment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en curs fins que l'actora faci la imperativa oferta de lloguer social en els termes que estableix la Llei 24/2015, del 29 de juliol i les persones que habiten l'immoble tinguin garantida alternativa </w:t>
      </w:r>
      <w:proofErr w:type="spellStart"/>
      <w:r w:rsidRPr="00E144E3">
        <w:rPr>
          <w:rFonts w:ascii="Arial" w:eastAsia="Times New Roman" w:hAnsi="Arial" w:cs="Arial"/>
          <w:color w:val="000000"/>
          <w:lang w:val="ca-ES" w:eastAsia="es-ES"/>
        </w:rPr>
        <w:t>habitacional</w:t>
      </w:r>
      <w:proofErr w:type="spellEnd"/>
      <w:r w:rsidRPr="00E144E3">
        <w:rPr>
          <w:rFonts w:ascii="Arial" w:eastAsia="Times New Roman" w:hAnsi="Arial" w:cs="Arial"/>
          <w:color w:val="000000"/>
          <w:lang w:val="ca-ES" w:eastAsia="es-ES"/>
        </w:rPr>
        <w:t>.</w:t>
      </w:r>
    </w:p>
    <w:p w:rsidR="00E144E3" w:rsidRPr="00E144E3" w:rsidRDefault="00E144E3" w:rsidP="00E14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E144E3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b/>
          <w:bCs/>
          <w:color w:val="000000"/>
          <w:lang w:val="ca-ES" w:eastAsia="es-ES"/>
        </w:rPr>
        <w:t>ALTRESÍ DIC:</w:t>
      </w:r>
      <w:r w:rsidRPr="00E144E3">
        <w:rPr>
          <w:rFonts w:ascii="Arial" w:eastAsia="Times New Roman" w:hAnsi="Arial" w:cs="Arial"/>
          <w:color w:val="000000"/>
          <w:lang w:val="ca-ES" w:eastAsia="es-ES"/>
        </w:rPr>
        <w:t xml:space="preserve"> Que en el supòsit que Serveis Socials consideri que aquest escrit s’ha de presentar mitjançant advocat y procurador, em sigui notificada resolució, i es suspengui el procediment a efectes de sol·licitud de Justícia Gratuïta o presentació per lletrat d’ofici que em representi.</w:t>
      </w:r>
    </w:p>
    <w:p w:rsidR="00E144E3" w:rsidRPr="00E144E3" w:rsidRDefault="00E144E3" w:rsidP="00E14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263BAE" w:rsidRPr="00E144E3" w:rsidRDefault="00E144E3" w:rsidP="00E144E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E144E3">
        <w:rPr>
          <w:rFonts w:ascii="Arial" w:eastAsia="Times New Roman" w:hAnsi="Arial" w:cs="Arial"/>
          <w:color w:val="00B050"/>
          <w:lang w:val="ca-ES" w:eastAsia="es-ES"/>
        </w:rPr>
        <w:t>Localitat i data</w:t>
      </w:r>
    </w:p>
    <w:sectPr w:rsidR="00263BAE" w:rsidRPr="00E144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E3"/>
    <w:rsid w:val="00263BAE"/>
    <w:rsid w:val="003F50D1"/>
    <w:rsid w:val="00D2702D"/>
    <w:rsid w:val="00E1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C3465-8C5F-4FA2-8AC0-6751DDBD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Incidencia</dc:creator>
  <cp:keywords/>
  <dc:description/>
  <cp:lastModifiedBy>ro po</cp:lastModifiedBy>
  <cp:revision>2</cp:revision>
  <dcterms:created xsi:type="dcterms:W3CDTF">2020-02-20T11:42:00Z</dcterms:created>
  <dcterms:modified xsi:type="dcterms:W3CDTF">2020-02-20T11:42:00Z</dcterms:modified>
</cp:coreProperties>
</file>